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</w:p>
    <w:p>
      <w:pPr>
        <w:pStyle w:val="Body A"/>
        <w:rPr>
          <w:rFonts w:ascii="Arial Black" w:hAnsi="Arial Black"/>
          <w:sz w:val="32"/>
          <w:szCs w:val="32"/>
        </w:rPr>
      </w:pPr>
    </w:p>
    <w:p>
      <w:pPr>
        <w:pStyle w:val="Body A"/>
        <w:spacing w:line="360" w:lineRule="auto"/>
        <w:jc w:val="center"/>
        <w:rPr>
          <w:rFonts w:ascii="Arial Black" w:cs="Arial Black" w:hAnsi="Arial Black" w:eastAsia="Arial Black"/>
          <w:sz w:val="21"/>
          <w:szCs w:val="21"/>
        </w:rPr>
      </w:pPr>
      <w:r>
        <w:rPr>
          <w:rFonts w:ascii="Arial Black" w:hAnsi="Arial Black"/>
          <w:sz w:val="21"/>
          <w:szCs w:val="21"/>
          <w:rtl w:val="0"/>
        </w:rPr>
        <w:t>Bulletin d</w:t>
      </w:r>
      <w:r>
        <w:rPr>
          <w:rFonts w:ascii="Arial Black" w:hAnsi="Arial Black" w:hint="default"/>
          <w:sz w:val="21"/>
          <w:szCs w:val="21"/>
          <w:rtl w:val="0"/>
          <w:lang w:val="fr-FR"/>
        </w:rPr>
        <w:t>’</w:t>
      </w:r>
      <w:r>
        <w:rPr>
          <w:rFonts w:ascii="Arial Black" w:hAnsi="Arial Black"/>
          <w:sz w:val="21"/>
          <w:szCs w:val="21"/>
          <w:rtl w:val="0"/>
          <w:lang w:val="fr-FR"/>
        </w:rPr>
        <w:t>inscription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sz w:val="18"/>
          <w:szCs w:val="18"/>
          <w:rtl w:val="0"/>
          <w:lang w:val="pt-PT"/>
        </w:rPr>
        <w:t>A compl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sz w:val="18"/>
          <w:szCs w:val="18"/>
          <w:rtl w:val="0"/>
        </w:rPr>
        <w:t xml:space="preserve">ter et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  <w:lang w:val="fr-FR"/>
        </w:rPr>
        <w:t xml:space="preserve">retourner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en-US"/>
        </w:rPr>
        <w:t xml:space="preserve">ITTE Consulting Sarl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fr-FR"/>
        </w:rPr>
        <w:t>Sud Foire Lot 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°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50 TF 15034 GRD SOCABEG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Dakar, S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gal                 33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827 76 72 / 77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 xml:space="preserve">703 69 69 </w:t>
      </w:r>
      <w:r>
        <w:rPr>
          <w:rFonts w:ascii="Arial Narrow" w:hAnsi="Arial Narrow"/>
          <w:sz w:val="18"/>
          <w:szCs w:val="18"/>
          <w:rtl w:val="0"/>
          <w:lang w:val="pt-PT"/>
        </w:rPr>
        <w:t>ou par email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"mailto:contact@itteconsulting.com"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contact@itteconsulting.com</w:t>
      </w:r>
      <w:r>
        <w:rPr/>
        <w:fldChar w:fldCharType="end" w:fldLock="0"/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TITRE DE LA FORMATION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SUPPLY CHAIN MANAGEMENT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Date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Du 07 au 09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Septembre</w:t>
      </w:r>
      <w:r>
        <w:rPr>
          <w:rStyle w:val="None"/>
          <w:rFonts w:ascii="Arial Narrow" w:hAnsi="Arial Narrow"/>
          <w:sz w:val="18"/>
          <w:szCs w:val="18"/>
          <w:rtl w:val="0"/>
          <w:lang w:val="de-DE"/>
        </w:rPr>
        <w:t xml:space="preserve"> 2022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nl-NL"/>
        </w:rPr>
        <w:t>Lieu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ITTE Cabinet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Prix unitaire :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37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5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000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 F CFA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HT / 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442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000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F CFA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 TTC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 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sz w:val="18"/>
          <w:szCs w:val="18"/>
          <w:rtl w:val="0"/>
          <w:lang w:val="it-IT"/>
        </w:rPr>
        <w:t>La date limite d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inscription est fix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e au  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06 Septembre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2022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PARTICIPANTS </w:t>
      </w:r>
    </w:p>
    <w:tbl>
      <w:tblPr>
        <w:tblW w:w="9605" w:type="dxa"/>
        <w:jc w:val="left"/>
        <w:tblInd w:w="97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972"/>
        <w:gridCol w:w="2125"/>
        <w:gridCol w:w="1805"/>
        <w:gridCol w:w="2703"/>
      </w:tblGrid>
      <w:tr>
        <w:tblPrEx>
          <w:shd w:val="clear" w:color="auto" w:fill="cdd4e9"/>
        </w:tblPrEx>
        <w:trPr>
          <w:trHeight w:val="290" w:hRule="atLeast"/>
        </w:trPr>
        <w:tc>
          <w:tcPr>
            <w:tcW w:type="dxa" w:w="2972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Pr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Fonction</w:t>
            </w:r>
          </w:p>
        </w:tc>
        <w:tc>
          <w:tcPr>
            <w:tcW w:type="dxa" w:w="212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Courriel</w:t>
            </w:r>
          </w:p>
        </w:tc>
        <w:tc>
          <w:tcPr>
            <w:tcW w:type="dxa" w:w="180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T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l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phone</w:t>
            </w:r>
          </w:p>
        </w:tc>
        <w:tc>
          <w:tcPr>
            <w:tcW w:type="dxa" w:w="2703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Prix Unitaire HT*</w:t>
            </w:r>
          </w:p>
        </w:tc>
      </w:tr>
      <w:tr>
        <w:tblPrEx>
          <w:shd w:val="clear" w:color="auto" w:fill="cdd4e9"/>
        </w:tblPrEx>
        <w:trPr>
          <w:trHeight w:val="484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9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7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70" w:hRule="atLeast"/>
        </w:trPr>
        <w:tc>
          <w:tcPr>
            <w:tcW w:type="dxa" w:w="6902"/>
            <w:gridSpan w:val="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fr-FR"/>
              </w:rPr>
              <w:t>* TVA en sus selon le taux en vigueur                      Prix Total TTC</w:t>
            </w:r>
          </w:p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ind w:left="864" w:hanging="864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756" w:hanging="756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648" w:hanging="648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540" w:hanging="54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432" w:hanging="432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324" w:hanging="324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216" w:hanging="216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108" w:hanging="108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Soci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é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d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appartenance du/des participants 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.........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Adresse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it-IT"/>
        </w:rPr>
        <w:t xml:space="preserve">phone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</w:t>
      </w: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Facturation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Adresse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..........................................</w:t>
      </w: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Responsable du suivi de 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inscription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Pr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Fonction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-8247</wp:posOffset>
                </wp:positionH>
                <wp:positionV relativeFrom="line">
                  <wp:posOffset>193675</wp:posOffset>
                </wp:positionV>
                <wp:extent cx="182736" cy="152400"/>
                <wp:effectExtent l="0" t="0" r="0" b="0"/>
                <wp:wrapNone/>
                <wp:docPr id="1073741827" name="officeArt object" descr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36" cy="1524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 cap="flat">
                          <a:solidFill>
                            <a:srgbClr val="43729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0.6pt;margin-top:15.2pt;width:14.4pt;height:12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5B9BD5" opacity="100.0%" type="solid"/>
                <v:stroke filltype="solid" color="#43729D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Fax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</w:t>
      </w:r>
    </w:p>
    <w:p>
      <w:pPr>
        <w:pStyle w:val="Body A"/>
        <w:rPr>
          <w:rStyle w:val="None"/>
          <w:rFonts w:ascii="Arial Narrow" w:cs="Arial Narrow" w:hAnsi="Arial Narrow" w:eastAsia="Arial Narrow"/>
          <w:sz w:val="21"/>
          <w:szCs w:val="21"/>
        </w:rPr>
      </w:pPr>
      <w:r>
        <w:rPr>
          <w:rStyle w:val="None"/>
          <w:rFonts w:ascii="Arial Narrow" w:hAnsi="Arial Narrow"/>
          <w:sz w:val="18"/>
          <w:szCs w:val="18"/>
          <w:rtl w:val="0"/>
        </w:rPr>
        <w:t xml:space="preserve">           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Je d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clare avoir pris connaissance des conditions g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</w:rPr>
        <w:t>n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rales de prestations de services figurant en annexe (au verso) de ce bulletin.</w:t>
      </w:r>
    </w:p>
    <w:p>
      <w:pPr>
        <w:pStyle w:val="Body A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Fait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:........................................................................ Le : ..................................................................</w:t>
      </w:r>
    </w:p>
    <w:p>
      <w:pPr>
        <w:pStyle w:val="Body A"/>
        <w:rPr>
          <w:rStyle w:val="None"/>
          <w:rFonts w:ascii="Arial" w:cs="Arial" w:hAnsi="Arial" w:eastAsia="Arial"/>
          <w:sz w:val="18"/>
          <w:szCs w:val="18"/>
        </w:rPr>
      </w:pPr>
    </w:p>
    <w:p>
      <w:pPr>
        <w:pStyle w:val="Body A"/>
        <w:rPr>
          <w:rStyle w:val="None A"/>
        </w:rPr>
      </w:pPr>
    </w:p>
    <w:tbl>
      <w:tblPr>
        <w:tblW w:w="16645" w:type="dxa"/>
        <w:jc w:val="left"/>
        <w:tblInd w:w="97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74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* Ce montant inclut la formation, le mat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riel, le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jeuner et  les rafraichissements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pendant le Programme de  formation.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s 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ception de votre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inscription, notre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quipe vous adressera un email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de confirmation  de votre inscription ; une facture vous sera envoy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e dans les 48H.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0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</w:pPr>
            <w:r>
              <w:rPr>
                <w:rStyle w:val="None"/>
                <w:rFonts w:ascii="Arial Narrow" w:hAnsi="Arial Narrow"/>
                <w:i w:val="1"/>
                <w:iCs w:val="1"/>
                <w:sz w:val="16"/>
                <w:szCs w:val="16"/>
                <w:shd w:val="nil" w:color="auto" w:fill="auto"/>
                <w:rtl w:val="0"/>
                <w:lang w:val="fr-FR"/>
              </w:rPr>
              <w:t>* TVA en sus selon le taux en vigueur.</w:t>
            </w:r>
          </w:p>
        </w:tc>
      </w:tr>
    </w:tbl>
    <w:p>
      <w:pPr>
        <w:pStyle w:val="Body A"/>
        <w:widowControl w:val="0"/>
        <w:ind w:left="864" w:hanging="864"/>
        <w:rPr>
          <w:rStyle w:val="None A"/>
        </w:rPr>
      </w:pPr>
    </w:p>
    <w:p>
      <w:pPr>
        <w:pStyle w:val="Body A"/>
        <w:widowControl w:val="0"/>
        <w:ind w:left="756" w:hanging="756"/>
        <w:rPr>
          <w:rStyle w:val="None A"/>
        </w:rPr>
      </w:pPr>
    </w:p>
    <w:p>
      <w:pPr>
        <w:pStyle w:val="Body A"/>
        <w:widowControl w:val="0"/>
        <w:ind w:left="648" w:hanging="648"/>
        <w:rPr>
          <w:rStyle w:val="None A"/>
        </w:rPr>
      </w:pPr>
    </w:p>
    <w:p>
      <w:pPr>
        <w:pStyle w:val="Body A"/>
        <w:widowControl w:val="0"/>
        <w:ind w:left="540" w:hanging="540"/>
        <w:rPr>
          <w:rStyle w:val="None A"/>
        </w:rPr>
      </w:pPr>
    </w:p>
    <w:p>
      <w:pPr>
        <w:pStyle w:val="Body A"/>
        <w:widowControl w:val="0"/>
        <w:ind w:left="432" w:hanging="432"/>
        <w:rPr>
          <w:rStyle w:val="None A"/>
        </w:rPr>
      </w:pPr>
    </w:p>
    <w:p>
      <w:pPr>
        <w:pStyle w:val="Body A"/>
        <w:widowControl w:val="0"/>
        <w:ind w:left="324" w:hanging="324"/>
        <w:rPr>
          <w:rStyle w:val="None A"/>
        </w:rPr>
      </w:pPr>
    </w:p>
    <w:p>
      <w:pPr>
        <w:pStyle w:val="Body A"/>
        <w:widowControl w:val="0"/>
        <w:ind w:left="216" w:hanging="216"/>
        <w:rPr>
          <w:rStyle w:val="None A"/>
        </w:rPr>
      </w:pPr>
    </w:p>
    <w:p>
      <w:pPr>
        <w:pStyle w:val="Body A"/>
        <w:widowControl w:val="0"/>
        <w:ind w:left="108" w:hanging="108"/>
        <w:rPr>
          <w:rStyle w:val="None A"/>
        </w:rPr>
      </w:pPr>
    </w:p>
    <w:tbl>
      <w:tblPr>
        <w:tblW w:w="16645" w:type="dxa"/>
        <w:jc w:val="left"/>
        <w:tblInd w:w="97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56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b w:val="1"/>
                <w:bCs w:val="1"/>
                <w:sz w:val="16"/>
                <w:szCs w:val="16"/>
                <w:u w:val="single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glement :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C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h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que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ordre de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I.T.T.E. Sarl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joindre au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inscription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          Ou par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8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Virement bancaire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ception de la facture sur le compte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CBAO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: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SN012 01201 036188864201 51</w:t>
            </w:r>
          </w:p>
        </w:tc>
      </w:tr>
    </w:tbl>
    <w:p>
      <w:pPr>
        <w:pStyle w:val="Body A"/>
        <w:widowControl w:val="0"/>
        <w:ind w:left="864" w:hanging="864"/>
        <w:rPr>
          <w:rStyle w:val="None A"/>
        </w:rPr>
      </w:pPr>
    </w:p>
    <w:p>
      <w:pPr>
        <w:pStyle w:val="Body A"/>
        <w:widowControl w:val="0"/>
        <w:ind w:left="756" w:hanging="756"/>
        <w:rPr>
          <w:rStyle w:val="None A"/>
        </w:rPr>
      </w:pPr>
    </w:p>
    <w:p>
      <w:pPr>
        <w:pStyle w:val="Body A"/>
        <w:widowControl w:val="0"/>
        <w:ind w:left="648" w:hanging="648"/>
        <w:rPr>
          <w:rStyle w:val="None A"/>
        </w:rPr>
      </w:pPr>
    </w:p>
    <w:p>
      <w:pPr>
        <w:pStyle w:val="Body A"/>
        <w:widowControl w:val="0"/>
        <w:ind w:left="540" w:hanging="540"/>
        <w:rPr>
          <w:rStyle w:val="None A"/>
        </w:rPr>
      </w:pPr>
    </w:p>
    <w:p>
      <w:pPr>
        <w:pStyle w:val="Body A"/>
        <w:widowControl w:val="0"/>
        <w:ind w:left="432" w:hanging="432"/>
        <w:rPr>
          <w:rStyle w:val="None A"/>
        </w:rPr>
      </w:pPr>
    </w:p>
    <w:p>
      <w:pPr>
        <w:pStyle w:val="Body A"/>
        <w:widowControl w:val="0"/>
        <w:ind w:left="324" w:hanging="324"/>
        <w:rPr>
          <w:rStyle w:val="None A"/>
        </w:rPr>
      </w:pPr>
    </w:p>
    <w:p>
      <w:pPr>
        <w:pStyle w:val="Body A"/>
        <w:widowControl w:val="0"/>
        <w:ind w:left="216" w:hanging="216"/>
        <w:rPr>
          <w:rStyle w:val="None A"/>
        </w:rPr>
      </w:pPr>
    </w:p>
    <w:p>
      <w:pPr>
        <w:pStyle w:val="Body A"/>
        <w:widowControl w:val="0"/>
        <w:ind w:left="108" w:hanging="108"/>
        <w:rPr>
          <w:rStyle w:val="None A"/>
        </w:rPr>
      </w:pPr>
    </w:p>
    <w:p>
      <w:pPr>
        <w:pStyle w:val="Body A"/>
        <w:rPr>
          <w:rStyle w:val="None"/>
          <w:b w:val="1"/>
          <w:bCs w:val="1"/>
          <w:sz w:val="21"/>
          <w:szCs w:val="21"/>
          <w:u w:val="single"/>
        </w:rPr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82073" distB="82073" distL="82073" distR="82073" simplePos="0" relativeHeight="251660288" behindDoc="0" locked="0" layoutInCell="1" allowOverlap="1">
                <wp:simplePos x="0" y="0"/>
                <wp:positionH relativeFrom="page">
                  <wp:posOffset>4017645</wp:posOffset>
                </wp:positionH>
                <wp:positionV relativeFrom="line">
                  <wp:posOffset>6346</wp:posOffset>
                </wp:positionV>
                <wp:extent cx="3373755" cy="730924"/>
                <wp:effectExtent l="0" t="0" r="0" b="0"/>
                <wp:wrapSquare wrapText="bothSides" distL="82073" distR="82073" distT="82073" distB="82073"/>
                <wp:docPr id="1073741828" name="officeArt object" descr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755" cy="730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16.4pt;margin-top:0.5pt;width:265.6pt;height:57.6pt;z-index:251660288;mso-position-horizontal:absolute;mso-position-horizontal-relative:page;mso-position-vertical:absolute;mso-position-vertical-relative:line;mso-wrap-distance-left:6.5pt;mso-wrap-distance-top:6.5pt;mso-wrap-distance-right:6.5pt;mso-wrap-distance-bottom:6.5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  <w:tab/>
                      </w:r>
                    </w:p>
                  </w:txbxContent>
                </v:textbox>
                <w10:wrap type="square" side="bothSides" anchorx="page"/>
              </v:rect>
            </w:pict>
          </mc:Fallback>
        </mc:AlternateContent>
      </w:r>
      <w:r>
        <w:rPr>
          <w:rStyle w:val="None A"/>
        </w:rPr>
        <mc:AlternateContent>
          <mc:Choice Requires="wps">
            <w:drawing xmlns:a="http://schemas.openxmlformats.org/drawingml/2006/main">
              <wp:inline distT="0" distB="0" distL="0" distR="0">
                <wp:extent cx="2894965" cy="724822"/>
                <wp:effectExtent l="0" t="0" r="0" b="0"/>
                <wp:docPr id="1073741829" name="officeArt object" descr="Shap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724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b w:val="1"/>
                                <w:bCs w:val="1"/>
                                <w:sz w:val="16"/>
                                <w:szCs w:val="16"/>
                                <w:u w:val="single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visibility:visible;width:227.9pt;height:57.1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b w:val="1"/>
                          <w:bCs w:val="1"/>
                          <w:sz w:val="16"/>
                          <w:szCs w:val="16"/>
                          <w:u w:val="single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None"/>
          <w:rFonts w:ascii="Arial" w:hAnsi="Arial"/>
          <w:b w:val="1"/>
          <w:bCs w:val="1"/>
          <w:sz w:val="15"/>
          <w:szCs w:val="15"/>
          <w:u w:val="single"/>
          <w:rtl w:val="0"/>
        </w:rPr>
        <w:t xml:space="preserve"> </w:t>
      </w:r>
      <w:r>
        <w:rPr>
          <w:rStyle w:val="None"/>
          <w:b w:val="1"/>
          <w:bCs w:val="1"/>
          <w:sz w:val="21"/>
          <w:szCs w:val="21"/>
          <w:u w:val="single"/>
          <w:rtl w:val="0"/>
          <w:lang w:val="de-DE"/>
        </w:rPr>
        <w:t>CACHET ET SIGNATURE DE L</w:t>
      </w:r>
      <w:r>
        <w:rPr>
          <w:rStyle w:val="None"/>
          <w:rFonts w:ascii="Arial Unicode MS" w:hAnsi="Arial Unicode MS" w:hint="default"/>
          <w:sz w:val="21"/>
          <w:szCs w:val="21"/>
          <w:u w:val="single"/>
          <w:rtl w:val="1"/>
        </w:rPr>
        <w:t>’</w:t>
      </w:r>
      <w:r>
        <w:rPr>
          <w:rStyle w:val="None"/>
          <w:b w:val="1"/>
          <w:bCs w:val="1"/>
          <w:sz w:val="21"/>
          <w:szCs w:val="21"/>
          <w:u w:val="single"/>
          <w:rtl w:val="0"/>
        </w:rPr>
        <w:t>ENTREPRISE</w:t>
      </w: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  <w:jc w:val="center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en-US"/>
        </w:rPr>
        <w:t>CONDITIONS G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</w:rPr>
        <w:t>N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  <w:lang w:val="en-US"/>
        </w:rPr>
        <w:t>RALES DE PRESTATION DE SERVICES</w:t>
      </w:r>
    </w:p>
    <w:p>
      <w:pPr>
        <w:pStyle w:val="Body A"/>
      </w:pPr>
      <w:r>
        <w:rPr>
          <w:rStyle w:val="None A"/>
          <w:rtl w:val="0"/>
        </w:rPr>
        <w:t xml:space="preserve"> </w:t>
      </w:r>
    </w:p>
    <w:p>
      <w:pPr>
        <w:pStyle w:val="Body A"/>
        <w:sectPr>
          <w:headerReference w:type="default" r:id="rId4"/>
          <w:footerReference w:type="default" r:id="rId5"/>
          <w:pgSz w:w="11900" w:h="16840" w:orient="portrait"/>
          <w:pgMar w:top="1417" w:right="1417" w:bottom="1417" w:left="1417" w:header="708" w:footer="0"/>
          <w:bidi w:val="0"/>
        </w:sect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>1. INSCRIPTION</w:t>
      </w:r>
    </w:p>
    <w:p>
      <w:pPr>
        <w:pStyle w:val="Body A"/>
        <w:ind w:right="68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ITTE CONSULTING Sarl est enregistr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comme Cabinet de conseil RH et organisme de formation professionnelle. Son si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ge social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tabli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Sud Foire Lot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° </w:t>
      </w:r>
      <w:r>
        <w:rPr>
          <w:rStyle w:val="None"/>
          <w:rFonts w:ascii="Arial" w:hAnsi="Arial"/>
          <w:sz w:val="13"/>
          <w:szCs w:val="13"/>
          <w:rtl w:val="0"/>
          <w:lang w:val="de-DE"/>
        </w:rPr>
        <w:t xml:space="preserve">50 TF 15034 GRD SOCABEG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– </w:t>
      </w:r>
      <w:r>
        <w:rPr>
          <w:rStyle w:val="None"/>
          <w:rFonts w:ascii="Arial" w:hAnsi="Arial"/>
          <w:sz w:val="13"/>
          <w:szCs w:val="13"/>
          <w:rtl w:val="0"/>
        </w:rPr>
        <w:t>Dakar, 2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me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tage, Dakar. ITTE CONSULTING Sarl dans le cadre de son activit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organisme de formation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veloppe, propose et dispense des formations inter et intra entreprise.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2. OBJET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rales de prestations de services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les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CGPS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appliquent aux formations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 xml:space="preserve">es par ITTE CONSULTING Sarl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 client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fait de passer commande aupr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de ITTE CONSULTING Sarl implique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sion enti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et sans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du Client aux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CGPS. Toute condition contraire et notamment toute condition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 ou particuli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>re oppos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 par le Client ne peut, sauf acceptation formelle et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crite du cabinet 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sur 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et ce, quel que soit le moment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elle aura pu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port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sa connaissance. Le fait que ITTE CONSULTING Sarl ne se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vale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moment donn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sentes CGPS ne peut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tre interpr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comme valant renonciation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en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rieurement.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se porte fort du respect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par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ensemble de ses salari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et agents.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reconna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î</w:t>
      </w:r>
      <w:r>
        <w:rPr>
          <w:rStyle w:val="None"/>
          <w:rFonts w:ascii="Arial" w:hAnsi="Arial"/>
          <w:sz w:val="13"/>
          <w:szCs w:val="13"/>
          <w:rtl w:val="0"/>
        </w:rPr>
        <w:t xml:space="preserve">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que,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alablement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toute commande, il a b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fici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des informations et conseils suffisants de ITTE CONSULTING Sarl, lui permettant de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assurer de la parfaite ad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quation de la formation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ses besoins.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3. FORMATIONS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 Formations inter entreprise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3.1.1 Descriptif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dispositions du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 article 3.1 concernent les formations interentreprises, disponibles au catalogue de formations et dispens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Sarl, dans ses locaux ou dans des locaux externes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vus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cet effet.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glement du prix de la formation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effectuer,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inscription, comptant, sans escompte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Sarl. Tous les prix sont indiqu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hors taxes et sont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majorer du taux de la TVA en vigueur.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Pour les formations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journ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e, les repas sont compris dans le prix de la formation.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express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ment le droit de disposer librement des places retenues par le client tant que les frais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auront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gralement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3.1.3 Remplacement d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 participant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it-IT"/>
        </w:rPr>
        <w:t>ITTE CONSULTING Sarl offre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remplacer un participant emp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un autre participant ayant le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 profil et les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mes besoins en formation. Le remplacement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participant est possible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plus tard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pour le commencement de la formation concern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e.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3.1.4 Insuffisance du nombre de participants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une session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Dans le cas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nombre de participants serait insuffisant pour assurer le bon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roulement 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dagogique de la session de formation, 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serve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ajourner la formation au plus tard 02 jrs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et ce,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pour le Client.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 Formations intra entreprise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3.2.1 Descriptif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Toutes les formations disponibles dans le catalogue de formations peuvent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en intra entreprise,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sur mesure par ITTE CONSULTING Sarl et ex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cut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dans les locaux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ITTE CONSULTING Sarl, du Client ou dans des locaux mis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disposition par le Client.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Toute formation intra entreprise fera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alablement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par ITTE CONSULTING Sarl. Sauf disposition contraire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dans la proposition commerciale, un acompte minimum de 50% du co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û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 total de la formation sera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signature de la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re, le solde sera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û 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Pour les formations organis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chez le client, les frais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placement 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bergement du (ou des) formateurs sont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>s en sus.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NB : les demandes individuelles et hors session feront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facturation sp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cifique dont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nl-NL"/>
        </w:rPr>
        <w:t>e en totalit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marrage.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4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. DISPOSITIONS APPLICABLES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OFFRE DE FORMATION PROPOSEE AU CATALOGUE DE FORMATIONS ET DISPENSEE PAR   ITTE CONSULTING Sarl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4.1 Annulation ou report des formations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initiative du Client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dates de formation sont fix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 (pour les formations inter-entreprises) et en accord avec le client (pour les formations intra entreprise).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annulation tardive par le Client : 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moins 07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marrage de la formation : aucune facturation.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30 %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 Client.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01 jour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100%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au Client. Cette condition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valable pour toute personne absente le jour de la formation et non remplac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e. Toute annulation ou report devra faire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une communication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crite par e-mail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adresse suivante contact@itteConsulting.com.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4.2. Facturation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–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glement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4.2.1 Prix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Tous les prix sont exprim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en francs CFA et hors taxes. Ils seront major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de la TVA au taux en vigueur. 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4.2.2 Paiement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Sauf convention contraire, les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glements seront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aux conditions suivantes :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paiement comptant doit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 ;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accept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 xml:space="preserve">que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(joint au bulletin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inscription) ou par virement bancaire;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aucun escompte ne sera appliqu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avant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’é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ance.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retard de paiement, ITTE CONSULTING Sarl pourra suspendre toutes les commandes en cours et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 toute autre voie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action.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ITTE CONSULTING Sarl aura la facult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suspendre le service jusqu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’à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complet paiement et obtenir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par voie contentieuse aux frais du Client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des autres dommages et 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ts qui pourraient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 xml:space="preserve">tre dus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4.3. Force majeure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ITTE CONSULTING Sarl ne pourra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tre tenu responsable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 du Client en cas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>inex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ses obligations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sultant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 xml:space="preserve">un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nement de force majeure. Sont consid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comme cas de force majeure ou cas fortuit, outre ceux habituellement reconnus par la jurisprudence des Cours et Tribunaux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galais et sans que cette liste soit limitative : la maladie ou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accident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animateur de formation, les gr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ves ou conflits sociaux, les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sastres naturels, les incendies, la non obtention de visas, des autorisations de travail ou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permis, les lois ou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glements mis en place ult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rieurement,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des 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communications,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approvisionnement en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nergie, interruption des communications ou des transports de tout type, ou toute autre circonstance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pondant au crit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de la Force majeure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it-IT"/>
        </w:rPr>
        <w:t>4.4. Propri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intellectuelle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est seule titulaire des droits de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formations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elle propose au catalogue de formations.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cet effet,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contenus et supports 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dagogiques quelle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soit la forme (papier,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lectronique, num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rique, orale,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…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)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par ITTE CONSULTING Sarl pour assurer les formations demeurent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exclusive du cabinet.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 titre, ils ne peuvent faire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aucune utilisation, transformation,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adaptation, traduction et plus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ralement exploitation non express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 au sein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 du Client sans accord expr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 et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crit de ITTE CONSULTING Sarl. En particulier, le Client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interdit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utiliser le contenu des formations pour former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personnes que son propre personnel et engage sa responsabilit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sur le fondement du code de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en cas de cession ou de communication des contenus non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e. Toute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modification, publication, transmission, adaptation, traduction,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naturation, totale ou partielle des contenus de formations sont strictement interdites, et ce quels que soient le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et le support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s. En tout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tat de cause, ITTE CONSULTING Sarl demeure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taire de ses outils, 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thodes et savoir-faire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>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des prestations.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en-US"/>
        </w:rPr>
        <w:t>4.5 Confidentialit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Chacune des parties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engage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garder confidentiels toutes informations et tous documents concernant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 partie de quelle que nature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ils soient,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conomiques, techniques ou commerciaux, auxquels elles pourraient avoir 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au cours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du contrat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occasion des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changes intervenus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la conclusion du contrat.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4.6. Protection des donn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re personnel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</w:rPr>
        <w:t>Conform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aux dispositions de la loi 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°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2008-12 sur la Protection des donn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personnel, le client peut exercer son droit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de rectification 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opposition. Les informations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par le client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en application et dans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de la formation pourront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tre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es aux partenaires contractuels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pour les seuls besoins desdites formations. ITTE CONSULTING Sarl ne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de pas au partage,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l'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 xml:space="preserve">change,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la location,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es-ES_tradnl"/>
        </w:rPr>
        <w:t xml:space="preserve">la vente ni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toute divulgation des informations de ses clients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des fins commerciales.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4.7. Publicit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Le client autorise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citer son nom en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rence en tant que client de la formation.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4.8. Droit applicable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–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Attribution de comp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tence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rales de prestations de services sont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gies exclusivement par le droit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 xml:space="preserve">galais. </w:t>
      </w:r>
    </w:p>
    <w:p>
      <w:pPr>
        <w:pStyle w:val="Body A"/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cas de litige survenant entre le client et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la formation, il sera recherch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une solution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amiable et,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faut de solution amiable trouv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 par les parties dans les 30 jours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apparition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diff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rend, le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 sera du ressort exclusif du tribunal de Dakar, nonobstant pluralit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</w:rPr>
        <w:t>de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fendeurs et/ou appels en garantie.</w:t>
      </w:r>
    </w:p>
    <w:sectPr>
      <w:headerReference w:type="default" r:id="rId6"/>
      <w:footerReference w:type="default" r:id="rId7"/>
      <w:pgSz w:w="11900" w:h="16840" w:orient="portrait"/>
      <w:pgMar w:top="1417" w:right="1417" w:bottom="1417" w:left="1417" w:header="708" w:footer="0"/>
      <w:cols w:space="274" w:num="2" w:equalWidth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Arial Black">
    <w:charset w:val="00"/>
    <w:family w:val="roman"/>
    <w:pitch w:val="default"/>
  </w:font>
  <w:font w:name="Arial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46"/>
        <w:tab w:val="clear" w:pos="9072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-67942</wp:posOffset>
          </wp:positionV>
          <wp:extent cx="7905750" cy="10802620"/>
          <wp:effectExtent l="0" t="0" r="0" b="0"/>
          <wp:wrapNone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26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-67942</wp:posOffset>
          </wp:positionV>
          <wp:extent cx="7905750" cy="10802620"/>
          <wp:effectExtent l="0" t="0" r="0" b="0"/>
          <wp:wrapNone/>
          <wp:docPr id="1073741830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31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 Narrow" w:cs="Arial Narrow" w:hAnsi="Arial Narrow" w:eastAsia="Arial Narrow"/>
      <w:outline w:val="0"/>
      <w:color w:val="0563c1"/>
      <w:sz w:val="18"/>
      <w:szCs w:val="18"/>
      <w:u w:val="single" w:color="0563c1"/>
      <w:lang w:val="pt-PT"/>
      <w14:textFill>
        <w14:solidFill>
          <w14:srgbClr w14:val="0563C1"/>
        </w14:solidFill>
      </w14:textFill>
    </w:rPr>
  </w:style>
  <w:style w:type="character" w:styleId="None A">
    <w:name w:val="None A"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footer" Target="footer2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