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</w:p>
    <w:p>
      <w:pPr>
        <w:pStyle w:val="Body A"/>
        <w:rPr>
          <w:rFonts w:ascii="Arial Black" w:hAnsi="Arial Black"/>
          <w:sz w:val="32"/>
          <w:szCs w:val="32"/>
        </w:rPr>
      </w:pPr>
    </w:p>
    <w:p>
      <w:pPr>
        <w:pStyle w:val="Body A"/>
        <w:spacing w:line="360" w:lineRule="auto"/>
        <w:jc w:val="center"/>
        <w:rPr>
          <w:rFonts w:ascii="Arial Black" w:cs="Arial Black" w:hAnsi="Arial Black" w:eastAsia="Arial Black"/>
          <w:sz w:val="21"/>
          <w:szCs w:val="21"/>
        </w:rPr>
      </w:pPr>
      <w:r>
        <w:rPr>
          <w:rFonts w:ascii="Arial Black" w:hAnsi="Arial Black"/>
          <w:sz w:val="21"/>
          <w:szCs w:val="21"/>
          <w:rtl w:val="0"/>
        </w:rPr>
        <w:t>Bulletin d</w:t>
      </w:r>
      <w:r>
        <w:rPr>
          <w:rFonts w:ascii="Arial Black" w:hAnsi="Arial Black" w:hint="default"/>
          <w:sz w:val="21"/>
          <w:szCs w:val="21"/>
          <w:rtl w:val="0"/>
          <w:lang w:val="fr-FR"/>
        </w:rPr>
        <w:t>’</w:t>
      </w:r>
      <w:r>
        <w:rPr>
          <w:rFonts w:ascii="Arial Black" w:hAnsi="Arial Black"/>
          <w:sz w:val="21"/>
          <w:szCs w:val="21"/>
          <w:rtl w:val="0"/>
          <w:lang w:val="fr-FR"/>
        </w:rPr>
        <w:t>inscription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sz w:val="18"/>
          <w:szCs w:val="18"/>
          <w:rtl w:val="0"/>
          <w:lang w:val="pt-PT"/>
        </w:rPr>
        <w:t>A compl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sz w:val="18"/>
          <w:szCs w:val="18"/>
          <w:rtl w:val="0"/>
        </w:rPr>
        <w:t xml:space="preserve">ter et 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Fonts w:ascii="Arial Narrow" w:hAnsi="Arial Narrow"/>
          <w:sz w:val="18"/>
          <w:szCs w:val="18"/>
          <w:rtl w:val="0"/>
          <w:lang w:val="fr-FR"/>
        </w:rPr>
        <w:t xml:space="preserve">retourner 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Fonts w:ascii="Arial Narrow" w:hAnsi="Arial Narrow"/>
          <w:sz w:val="18"/>
          <w:szCs w:val="18"/>
          <w:rtl w:val="0"/>
        </w:rPr>
        <w:t xml:space="preserve">: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en-US"/>
        </w:rPr>
        <w:t xml:space="preserve">ITTE Consulting Sarl 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–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fr-FR"/>
        </w:rPr>
        <w:t>Sud Foire Lot N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°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50 TF 15034 GRD SOCABEG 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– 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Dakar, S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n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gal                 33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827 76 72 / 77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 xml:space="preserve">703 69 69 </w:t>
      </w:r>
      <w:r>
        <w:rPr>
          <w:rFonts w:ascii="Arial Narrow" w:hAnsi="Arial Narrow"/>
          <w:sz w:val="18"/>
          <w:szCs w:val="18"/>
          <w:rtl w:val="0"/>
          <w:lang w:val="pt-PT"/>
        </w:rPr>
        <w:t>ou par email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"mailto:contact@itteconsulting.com"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contact@itteconsulting.com</w:t>
      </w:r>
      <w:r>
        <w:rPr/>
        <w:fldChar w:fldCharType="end" w:fldLock="0"/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b w:val="1"/>
          <w:bCs w:val="1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TITRE DE LA FORMATION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  </w:t>
      </w:r>
      <w:r>
        <w:rPr>
          <w:rStyle w:val="None"/>
          <w:b w:val="1"/>
          <w:bCs w:val="1"/>
          <w:rtl w:val="0"/>
        </w:rPr>
        <w:t>Marketing digital, Webmarketing et E- Marketing : Les Clefs du succ</w:t>
      </w:r>
      <w:r>
        <w:rPr>
          <w:rStyle w:val="None"/>
          <w:b w:val="1"/>
          <w:bCs w:val="1"/>
          <w:rtl w:val="0"/>
          <w:lang w:val="it-IT"/>
        </w:rPr>
        <w:t>è</w:t>
      </w:r>
      <w:r>
        <w:rPr>
          <w:rStyle w:val="None"/>
          <w:b w:val="1"/>
          <w:bCs w:val="1"/>
          <w:rtl w:val="0"/>
        </w:rPr>
        <w:t xml:space="preserve">s 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>Date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Du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15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au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16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Novem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bre</w:t>
      </w:r>
      <w:r>
        <w:rPr>
          <w:rStyle w:val="None"/>
          <w:rFonts w:ascii="Arial Narrow" w:hAnsi="Arial Narrow"/>
          <w:sz w:val="18"/>
          <w:szCs w:val="18"/>
          <w:rtl w:val="0"/>
          <w:lang w:val="de-DE"/>
        </w:rPr>
        <w:t xml:space="preserve"> 2022 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nl-NL"/>
        </w:rPr>
        <w:t>Lieu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ITTE Cabinet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Prix unitaire :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25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0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000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 F CFA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HT / 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295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 500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F CFA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 TTC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 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sz w:val="18"/>
          <w:szCs w:val="18"/>
          <w:rtl w:val="0"/>
          <w:lang w:val="it-IT"/>
        </w:rPr>
        <w:t>La date limite d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inscription est fix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e au  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1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4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Novembre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2022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PARTICIPANTS </w:t>
      </w:r>
    </w:p>
    <w:tbl>
      <w:tblPr>
        <w:tblW w:w="9605" w:type="dxa"/>
        <w:jc w:val="left"/>
        <w:tblInd w:w="118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2972"/>
        <w:gridCol w:w="2125"/>
        <w:gridCol w:w="1805"/>
        <w:gridCol w:w="2703"/>
      </w:tblGrid>
      <w:tr>
        <w:tblPrEx>
          <w:shd w:val="clear" w:color="auto" w:fill="cdd4e9"/>
        </w:tblPrEx>
        <w:trPr>
          <w:trHeight w:val="310" w:hRule="atLeast"/>
        </w:trPr>
        <w:tc>
          <w:tcPr>
            <w:tcW w:type="dxa" w:w="2972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Nom, Pr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nom, Fonction</w:t>
            </w:r>
          </w:p>
        </w:tc>
        <w:tc>
          <w:tcPr>
            <w:tcW w:type="dxa" w:w="2125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Courriel</w:t>
            </w:r>
          </w:p>
        </w:tc>
        <w:tc>
          <w:tcPr>
            <w:tcW w:type="dxa" w:w="1805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T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l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phone</w:t>
            </w:r>
          </w:p>
        </w:tc>
        <w:tc>
          <w:tcPr>
            <w:tcW w:type="dxa" w:w="2703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Prix Unitaire HT*</w:t>
            </w:r>
          </w:p>
        </w:tc>
      </w:tr>
      <w:tr>
        <w:tblPrEx>
          <w:shd w:val="clear" w:color="auto" w:fill="cdd4e9"/>
        </w:tblPrEx>
        <w:trPr>
          <w:trHeight w:val="504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512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92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90" w:hRule="atLeast"/>
        </w:trPr>
        <w:tc>
          <w:tcPr>
            <w:tcW w:type="dxa" w:w="6902"/>
            <w:gridSpan w:val="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fr-FR"/>
              </w:rPr>
              <w:t>* TVA en sus selon le taux en vigueur                      Prix Total TTC</w:t>
            </w:r>
          </w:p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A"/>
        <w:widowControl w:val="0"/>
        <w:ind w:left="1080" w:hanging="1080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972" w:hanging="972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864" w:hanging="864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756" w:hanging="756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648" w:hanging="648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540" w:hanging="540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432" w:hanging="432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324" w:hanging="324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216" w:hanging="216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108" w:hanging="108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Soci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é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d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appartenance du/des participants 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Raison sociale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.........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pt-PT"/>
        </w:rPr>
        <w:t>Adresse 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>Adresse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it-IT"/>
        </w:rPr>
        <w:t xml:space="preserve">phone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</w:t>
      </w: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Facturation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Raison sociale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Adresse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phone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..........................................</w:t>
      </w: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Responsable du suivi de 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inscription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Nom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Pr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nom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Fonction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pt-PT"/>
        </w:rPr>
        <w:t>Adresse 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.................................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 A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-8245</wp:posOffset>
                </wp:positionH>
                <wp:positionV relativeFrom="line">
                  <wp:posOffset>193675</wp:posOffset>
                </wp:positionV>
                <wp:extent cx="182736" cy="152400"/>
                <wp:effectExtent l="0" t="0" r="0" b="0"/>
                <wp:wrapNone/>
                <wp:docPr id="1073741827" name="officeArt object" descr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36" cy="1524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12700" cap="flat">
                          <a:solidFill>
                            <a:srgbClr val="43729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0.6pt;margin-top:15.2pt;width:14.4pt;height:12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5B9BD5" opacity="100.0%" type="solid"/>
                <v:stroke filltype="solid" color="#43729D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phone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………………………………………………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Fax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</w:t>
      </w:r>
    </w:p>
    <w:p>
      <w:pPr>
        <w:pStyle w:val="Body A"/>
        <w:rPr>
          <w:rStyle w:val="None"/>
          <w:rFonts w:ascii="Arial Narrow" w:cs="Arial Narrow" w:hAnsi="Arial Narrow" w:eastAsia="Arial Narrow"/>
          <w:sz w:val="21"/>
          <w:szCs w:val="21"/>
        </w:rPr>
      </w:pPr>
      <w:r>
        <w:rPr>
          <w:rStyle w:val="None"/>
          <w:rFonts w:ascii="Arial Narrow" w:hAnsi="Arial Narrow"/>
          <w:sz w:val="18"/>
          <w:szCs w:val="18"/>
          <w:rtl w:val="0"/>
        </w:rPr>
        <w:t xml:space="preserve">           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Je d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clare avoir pris connaissance des conditions g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</w:rPr>
        <w:t>n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rales de prestations de services figurant en annexe (au verso) de ce bulletin.</w:t>
      </w:r>
    </w:p>
    <w:p>
      <w:pPr>
        <w:pStyle w:val="Body A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Fait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:........................................................................ Le : ..................................................................</w:t>
      </w:r>
    </w:p>
    <w:p>
      <w:pPr>
        <w:pStyle w:val="Body A"/>
        <w:rPr>
          <w:rStyle w:val="None"/>
          <w:rFonts w:ascii="Arial" w:cs="Arial" w:hAnsi="Arial" w:eastAsia="Arial"/>
          <w:sz w:val="18"/>
          <w:szCs w:val="18"/>
        </w:rPr>
      </w:pPr>
    </w:p>
    <w:p>
      <w:pPr>
        <w:pStyle w:val="Body A"/>
        <w:rPr>
          <w:rStyle w:val="None A"/>
        </w:rPr>
      </w:pPr>
    </w:p>
    <w:tbl>
      <w:tblPr>
        <w:tblW w:w="16645" w:type="dxa"/>
        <w:jc w:val="left"/>
        <w:tblInd w:w="118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3285"/>
        <w:gridCol w:w="3360"/>
      </w:tblGrid>
      <w:tr>
        <w:tblPrEx>
          <w:shd w:val="clear" w:color="auto" w:fill="cdd4e9"/>
        </w:tblPrEx>
        <w:trPr>
          <w:trHeight w:val="740" w:hRule="atLeast"/>
        </w:trPr>
        <w:tc>
          <w:tcPr>
            <w:tcW w:type="dxa" w:w="132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* Ce montant inclut la formation, le mat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riel, le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jeuner et  les rafraichissements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pendant le Programme de  formation. 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s r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ception de votre bulletin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inscription, notre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quipe vous adressera un email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de confirmation  de votre inscription ; une facture vous sera envoy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e dans les 48H.</w:t>
            </w:r>
          </w:p>
        </w:tc>
        <w:tc>
          <w:tcPr>
            <w:tcW w:type="dxa" w:w="3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00" w:hRule="atLeast"/>
        </w:trPr>
        <w:tc>
          <w:tcPr>
            <w:tcW w:type="dxa" w:w="1664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</w:pPr>
            <w:r>
              <w:rPr>
                <w:rStyle w:val="None"/>
                <w:rFonts w:ascii="Arial Narrow" w:hAnsi="Arial Narrow"/>
                <w:i w:val="1"/>
                <w:iCs w:val="1"/>
                <w:sz w:val="16"/>
                <w:szCs w:val="16"/>
                <w:shd w:val="nil" w:color="auto" w:fill="auto"/>
                <w:rtl w:val="0"/>
                <w:lang w:val="fr-FR"/>
              </w:rPr>
              <w:t>* TVA en sus selon le taux en vigueur.</w:t>
            </w:r>
          </w:p>
        </w:tc>
      </w:tr>
    </w:tbl>
    <w:p>
      <w:pPr>
        <w:pStyle w:val="Body A"/>
        <w:widowControl w:val="0"/>
        <w:ind w:left="1080" w:hanging="1080"/>
        <w:rPr>
          <w:rStyle w:val="None A"/>
        </w:rPr>
      </w:pPr>
    </w:p>
    <w:p>
      <w:pPr>
        <w:pStyle w:val="Body A"/>
        <w:widowControl w:val="0"/>
        <w:ind w:left="972" w:hanging="972"/>
        <w:rPr>
          <w:rStyle w:val="None A"/>
        </w:rPr>
      </w:pPr>
    </w:p>
    <w:p>
      <w:pPr>
        <w:pStyle w:val="Body A"/>
        <w:widowControl w:val="0"/>
        <w:ind w:left="864" w:hanging="864"/>
        <w:rPr>
          <w:rStyle w:val="None A"/>
        </w:rPr>
      </w:pPr>
    </w:p>
    <w:p>
      <w:pPr>
        <w:pStyle w:val="Body A"/>
        <w:widowControl w:val="0"/>
        <w:ind w:left="756" w:hanging="756"/>
        <w:rPr>
          <w:rStyle w:val="None A"/>
        </w:rPr>
      </w:pPr>
    </w:p>
    <w:p>
      <w:pPr>
        <w:pStyle w:val="Body A"/>
        <w:widowControl w:val="0"/>
        <w:ind w:left="648" w:hanging="648"/>
        <w:rPr>
          <w:rStyle w:val="None A"/>
        </w:rPr>
      </w:pPr>
    </w:p>
    <w:p>
      <w:pPr>
        <w:pStyle w:val="Body A"/>
        <w:widowControl w:val="0"/>
        <w:ind w:left="540" w:hanging="540"/>
        <w:rPr>
          <w:rStyle w:val="None A"/>
        </w:rPr>
      </w:pPr>
    </w:p>
    <w:p>
      <w:pPr>
        <w:pStyle w:val="Body A"/>
        <w:widowControl w:val="0"/>
        <w:ind w:left="432" w:hanging="432"/>
        <w:rPr>
          <w:rStyle w:val="None A"/>
        </w:rPr>
      </w:pPr>
    </w:p>
    <w:p>
      <w:pPr>
        <w:pStyle w:val="Body A"/>
        <w:widowControl w:val="0"/>
        <w:ind w:left="324" w:hanging="324"/>
        <w:rPr>
          <w:rStyle w:val="None A"/>
        </w:rPr>
      </w:pPr>
    </w:p>
    <w:p>
      <w:pPr>
        <w:pStyle w:val="Body A"/>
        <w:widowControl w:val="0"/>
        <w:ind w:left="216" w:hanging="216"/>
        <w:rPr>
          <w:rStyle w:val="None A"/>
        </w:rPr>
      </w:pPr>
    </w:p>
    <w:p>
      <w:pPr>
        <w:pStyle w:val="Body A"/>
        <w:widowControl w:val="0"/>
        <w:ind w:left="108" w:hanging="108"/>
        <w:rPr>
          <w:rStyle w:val="None A"/>
        </w:rPr>
      </w:pPr>
    </w:p>
    <w:tbl>
      <w:tblPr>
        <w:tblW w:w="16645" w:type="dxa"/>
        <w:jc w:val="left"/>
        <w:tblInd w:w="118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3285"/>
        <w:gridCol w:w="3360"/>
      </w:tblGrid>
      <w:tr>
        <w:tblPrEx>
          <w:shd w:val="clear" w:color="auto" w:fill="cdd4e9"/>
        </w:tblPrEx>
        <w:trPr>
          <w:trHeight w:val="560" w:hRule="atLeast"/>
        </w:trPr>
        <w:tc>
          <w:tcPr>
            <w:tcW w:type="dxa" w:w="132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b w:val="1"/>
                <w:bCs w:val="1"/>
                <w:sz w:val="16"/>
                <w:szCs w:val="16"/>
                <w:u w:val="single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glement :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C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h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que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ordre de 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>I.T.T.E. Sarl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joindre au bulletin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inscription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          Ou par</w:t>
            </w:r>
          </w:p>
        </w:tc>
        <w:tc>
          <w:tcPr>
            <w:tcW w:type="dxa" w:w="3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80" w:hRule="atLeast"/>
        </w:trPr>
        <w:tc>
          <w:tcPr>
            <w:tcW w:type="dxa" w:w="1664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Virement bancaire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ception de la facture sur le compte 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CBAO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: 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>SN012 01201 036188864201 51</w:t>
            </w:r>
          </w:p>
        </w:tc>
      </w:tr>
    </w:tbl>
    <w:p>
      <w:pPr>
        <w:pStyle w:val="Body A"/>
        <w:widowControl w:val="0"/>
        <w:ind w:left="1080" w:hanging="1080"/>
        <w:rPr>
          <w:rStyle w:val="None A"/>
        </w:rPr>
      </w:pPr>
    </w:p>
    <w:p>
      <w:pPr>
        <w:pStyle w:val="Body A"/>
        <w:widowControl w:val="0"/>
        <w:ind w:left="972" w:hanging="972"/>
        <w:rPr>
          <w:rStyle w:val="None A"/>
        </w:rPr>
      </w:pPr>
    </w:p>
    <w:p>
      <w:pPr>
        <w:pStyle w:val="Body A"/>
        <w:widowControl w:val="0"/>
        <w:ind w:left="864" w:hanging="864"/>
        <w:rPr>
          <w:rStyle w:val="None A"/>
        </w:rPr>
      </w:pPr>
    </w:p>
    <w:p>
      <w:pPr>
        <w:pStyle w:val="Body A"/>
        <w:widowControl w:val="0"/>
        <w:ind w:left="756" w:hanging="756"/>
        <w:rPr>
          <w:rStyle w:val="None A"/>
        </w:rPr>
      </w:pPr>
    </w:p>
    <w:p>
      <w:pPr>
        <w:pStyle w:val="Body A"/>
        <w:widowControl w:val="0"/>
        <w:ind w:left="648" w:hanging="648"/>
        <w:rPr>
          <w:rStyle w:val="None A"/>
        </w:rPr>
      </w:pPr>
    </w:p>
    <w:p>
      <w:pPr>
        <w:pStyle w:val="Body A"/>
        <w:widowControl w:val="0"/>
        <w:ind w:left="540" w:hanging="540"/>
        <w:rPr>
          <w:rStyle w:val="None A"/>
        </w:rPr>
      </w:pPr>
    </w:p>
    <w:p>
      <w:pPr>
        <w:pStyle w:val="Body A"/>
        <w:widowControl w:val="0"/>
        <w:ind w:left="432" w:hanging="432"/>
        <w:rPr>
          <w:rStyle w:val="None A"/>
        </w:rPr>
      </w:pPr>
    </w:p>
    <w:p>
      <w:pPr>
        <w:pStyle w:val="Body A"/>
        <w:widowControl w:val="0"/>
        <w:ind w:left="324" w:hanging="324"/>
        <w:rPr>
          <w:rStyle w:val="None A"/>
        </w:rPr>
      </w:pPr>
    </w:p>
    <w:p>
      <w:pPr>
        <w:pStyle w:val="Body A"/>
        <w:widowControl w:val="0"/>
        <w:ind w:left="216" w:hanging="216"/>
        <w:rPr>
          <w:rStyle w:val="None A"/>
        </w:rPr>
      </w:pPr>
    </w:p>
    <w:p>
      <w:pPr>
        <w:pStyle w:val="Body A"/>
        <w:widowControl w:val="0"/>
        <w:ind w:left="108" w:hanging="108"/>
        <w:rPr>
          <w:rStyle w:val="None A"/>
        </w:rPr>
      </w:pPr>
    </w:p>
    <w:p>
      <w:pPr>
        <w:pStyle w:val="Body A"/>
        <w:rPr>
          <w:rStyle w:val="None"/>
          <w:b w:val="1"/>
          <w:bCs w:val="1"/>
          <w:sz w:val="21"/>
          <w:szCs w:val="21"/>
          <w:u w:val="single"/>
        </w:rPr>
      </w:pPr>
      <w:r>
        <w:rPr>
          <w:rStyle w:val="None A"/>
        </w:rPr>
        <mc:AlternateContent>
          <mc:Choice Requires="wps">
            <w:drawing xmlns:a="http://schemas.openxmlformats.org/drawingml/2006/main">
              <wp:anchor distT="82073" distB="82073" distL="82073" distR="82073" simplePos="0" relativeHeight="251660288" behindDoc="0" locked="0" layoutInCell="1" allowOverlap="1">
                <wp:simplePos x="0" y="0"/>
                <wp:positionH relativeFrom="page">
                  <wp:posOffset>4017645</wp:posOffset>
                </wp:positionH>
                <wp:positionV relativeFrom="line">
                  <wp:posOffset>6346</wp:posOffset>
                </wp:positionV>
                <wp:extent cx="3373755" cy="730924"/>
                <wp:effectExtent l="0" t="0" r="0" b="0"/>
                <wp:wrapSquare wrapText="bothSides" distL="82073" distR="82073" distT="82073" distB="82073"/>
                <wp:docPr id="1073741828" name="officeArt object" descr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755" cy="7309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</w:pPr>
                            <w:r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16.4pt;margin-top:0.5pt;width:265.6pt;height:57.6pt;z-index:251660288;mso-position-horizontal:absolute;mso-position-horizontal-relative:page;mso-position-vertical:absolute;mso-position-vertical-relative:line;mso-wrap-distance-left:6.5pt;mso-wrap-distance-top:6.5pt;mso-wrap-distance-right:6.5pt;mso-wrap-distance-bottom:6.5pt;">
                <v:fill color="#FFFFFF" opacity="100.0%" type="solid"/>
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</w:pPr>
                      <w:r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  <w:tab/>
                      </w:r>
                    </w:p>
                  </w:txbxContent>
                </v:textbox>
                <w10:wrap type="square" side="bothSides" anchorx="page"/>
              </v:rect>
            </w:pict>
          </mc:Fallback>
        </mc:AlternateContent>
      </w:r>
      <w:r>
        <w:rPr>
          <w:rStyle w:val="None A"/>
        </w:rPr>
        <mc:AlternateContent>
          <mc:Choice Requires="wps">
            <w:drawing xmlns:a="http://schemas.openxmlformats.org/drawingml/2006/main">
              <wp:inline distT="0" distB="0" distL="0" distR="0">
                <wp:extent cx="2894965" cy="724822"/>
                <wp:effectExtent l="0" t="0" r="0" b="0"/>
                <wp:docPr id="1073741829" name="officeArt object" descr="Shap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7248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b w:val="1"/>
                                <w:bCs w:val="1"/>
                                <w:sz w:val="16"/>
                                <w:szCs w:val="16"/>
                                <w:u w:val="single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</w:pPr>
                            <w:r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visibility:visible;width:227.9pt;height:57.1pt;">
                <v:fill color="#FFFFFF" opacity="100.0%" type="solid"/>
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b w:val="1"/>
                          <w:bCs w:val="1"/>
                          <w:sz w:val="16"/>
                          <w:szCs w:val="16"/>
                          <w:u w:val="single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</w:pPr>
                      <w:r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None"/>
          <w:rFonts w:ascii="Arial" w:hAnsi="Arial"/>
          <w:b w:val="1"/>
          <w:bCs w:val="1"/>
          <w:sz w:val="15"/>
          <w:szCs w:val="15"/>
          <w:u w:val="single"/>
          <w:rtl w:val="0"/>
        </w:rPr>
        <w:t xml:space="preserve"> </w:t>
      </w:r>
      <w:r>
        <w:rPr>
          <w:rStyle w:val="None"/>
          <w:b w:val="1"/>
          <w:bCs w:val="1"/>
          <w:sz w:val="21"/>
          <w:szCs w:val="21"/>
          <w:u w:val="single"/>
          <w:rtl w:val="0"/>
          <w:lang w:val="de-DE"/>
        </w:rPr>
        <w:t>CACHET ET SIGNATURE DE L</w:t>
      </w:r>
      <w:r>
        <w:rPr>
          <w:rStyle w:val="None"/>
          <w:rFonts w:ascii="Arial Unicode MS" w:hAnsi="Arial Unicode MS" w:hint="default"/>
          <w:sz w:val="21"/>
          <w:szCs w:val="21"/>
          <w:u w:val="single"/>
          <w:rtl w:val="1"/>
        </w:rPr>
        <w:t>’</w:t>
      </w:r>
      <w:r>
        <w:rPr>
          <w:rStyle w:val="None"/>
          <w:b w:val="1"/>
          <w:bCs w:val="1"/>
          <w:sz w:val="21"/>
          <w:szCs w:val="21"/>
          <w:u w:val="single"/>
          <w:rtl w:val="0"/>
        </w:rPr>
        <w:t>ENTREPRISE</w:t>
      </w: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  <w:jc w:val="center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en-US"/>
        </w:rPr>
        <w:t>CONDITIONS G</w:t>
      </w:r>
      <w:r>
        <w:rPr>
          <w:rStyle w:val="None"/>
          <w:b w:val="1"/>
          <w:bCs w:val="1"/>
          <w:rtl w:val="0"/>
          <w:lang w:val="fr-FR"/>
        </w:rPr>
        <w:t>É</w:t>
      </w:r>
      <w:r>
        <w:rPr>
          <w:rStyle w:val="None"/>
          <w:b w:val="1"/>
          <w:bCs w:val="1"/>
          <w:rtl w:val="0"/>
        </w:rPr>
        <w:t>N</w:t>
      </w:r>
      <w:r>
        <w:rPr>
          <w:rStyle w:val="None"/>
          <w:b w:val="1"/>
          <w:bCs w:val="1"/>
          <w:rtl w:val="0"/>
          <w:lang w:val="fr-FR"/>
        </w:rPr>
        <w:t>É</w:t>
      </w:r>
      <w:r>
        <w:rPr>
          <w:rStyle w:val="None"/>
          <w:b w:val="1"/>
          <w:bCs w:val="1"/>
          <w:rtl w:val="0"/>
          <w:lang w:val="en-US"/>
        </w:rPr>
        <w:t>RALES DE PRESTATION DE SERVICES</w:t>
      </w:r>
    </w:p>
    <w:p>
      <w:pPr>
        <w:pStyle w:val="Body A"/>
      </w:pPr>
      <w:r>
        <w:rPr>
          <w:rStyle w:val="None A"/>
          <w:rtl w:val="0"/>
        </w:rPr>
        <w:t xml:space="preserve"> </w:t>
      </w:r>
    </w:p>
    <w:p>
      <w:pPr>
        <w:pStyle w:val="Body A"/>
        <w:sectPr>
          <w:headerReference w:type="default" r:id="rId4"/>
          <w:footerReference w:type="default" r:id="rId5"/>
          <w:pgSz w:w="11900" w:h="16840" w:orient="portrait"/>
          <w:pgMar w:top="1417" w:right="1417" w:bottom="1417" w:left="1417" w:header="708" w:footer="0"/>
          <w:bidi w:val="0"/>
        </w:sectPr>
      </w:pP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>1. INSCRIPTION</w:t>
      </w:r>
    </w:p>
    <w:p>
      <w:pPr>
        <w:pStyle w:val="Body A"/>
        <w:ind w:right="68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ITTE CONSULTING Sarl est enregistr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comme Cabinet de conseil RH et organisme de formation professionnelle. Son si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ge social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tabli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Sud Foire Lot 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° </w:t>
      </w:r>
      <w:r>
        <w:rPr>
          <w:rStyle w:val="None"/>
          <w:rFonts w:ascii="Arial" w:hAnsi="Arial"/>
          <w:sz w:val="13"/>
          <w:szCs w:val="13"/>
          <w:rtl w:val="0"/>
          <w:lang w:val="de-DE"/>
        </w:rPr>
        <w:t xml:space="preserve">50 TF 15034 GRD SOCABEG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– </w:t>
      </w:r>
      <w:r>
        <w:rPr>
          <w:rStyle w:val="None"/>
          <w:rFonts w:ascii="Arial" w:hAnsi="Arial"/>
          <w:sz w:val="13"/>
          <w:szCs w:val="13"/>
          <w:rtl w:val="0"/>
        </w:rPr>
        <w:t>Dakar, 2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 xml:space="preserve">me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tage, Dakar. ITTE CONSULTING Sarl dans le cadre de son activit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organisme de formation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veloppe, propose et dispense des formations inter et intra entreprise.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2. OBJET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conditions g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rales de prestations de services (ci-apr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les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«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CGPS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»</w:t>
      </w:r>
      <w:r>
        <w:rPr>
          <w:rStyle w:val="None"/>
          <w:rFonts w:ascii="Arial" w:hAnsi="Arial"/>
          <w:sz w:val="13"/>
          <w:szCs w:val="13"/>
          <w:rtl w:val="0"/>
        </w:rPr>
        <w:t>) 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appliquent aux formations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livr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en-US"/>
        </w:rPr>
        <w:t xml:space="preserve">es par ITTE CONSULTING Sarl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tout client (ci-apr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 xml:space="preserve">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«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»</w:t>
      </w:r>
      <w:r>
        <w:rPr>
          <w:rStyle w:val="None"/>
          <w:rFonts w:ascii="Arial" w:hAnsi="Arial"/>
          <w:sz w:val="13"/>
          <w:szCs w:val="13"/>
          <w:rtl w:val="0"/>
        </w:rPr>
        <w:t>).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fait de passer commande aupr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de ITTE CONSULTING Sarl implique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adh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sion enti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 et sans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serve du Client aux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CGPS. Toute condition contraire et notamment toute condition g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rale ou particuli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>re oppos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 par le Client ne peut, sauf acceptation formelle et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crite du cabinet 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valoir sur les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 et ce, quel que soit le moment 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ù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elle aura pu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port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sa connaissance. Le fait que ITTE CONSULTING Sarl ne se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vale pas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 moment donn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des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sentes CGPS ne peut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tre interpr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comme valant renonciation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</w:rPr>
        <w:t>en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valoir ult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rieurement.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Client se porte fort du respect des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 par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ensemble de ses salari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s,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pos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et agents.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Client reconna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î</w:t>
      </w:r>
      <w:r>
        <w:rPr>
          <w:rStyle w:val="None"/>
          <w:rFonts w:ascii="Arial" w:hAnsi="Arial"/>
          <w:sz w:val="13"/>
          <w:szCs w:val="13"/>
          <w:rtl w:val="0"/>
        </w:rPr>
        <w:t xml:space="preserve">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galement que,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alablement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toute commande, il a b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fici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des informations et conseils suffisants de ITTE CONSULTING Sarl, lui permettant de 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assurer de la parfaite ad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quation de la formation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ses besoins.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de-DE"/>
        </w:rPr>
        <w:t>3. FORMATIONS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 Formations inter entreprise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3.1.1 Descriptif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dispositions du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 article 3.1 concernent les formations interentreprises, disponibles au catalogue de formations et dispens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par ITTE CONSULTING Sarl, dans ses locaux ou dans des locaux externes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vus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cet effet.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3.1.2 Conditions financi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res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glement du prix de la formation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effectuer,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inscription, comptant, sans escompte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ordre de ITTE CONSULTING Sarl. Tous les prix sont indiqu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hors taxes et sont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majorer du taux de la TVA en vigueur.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Pour les formations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journ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e, les repas sont compris dans le prix de la formation.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en-US"/>
        </w:rPr>
        <w:t>ITTE CONSULTING Sarl se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serve express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ment le droit de disposer librement des places retenues par le client tant que les frais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inscription 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auront pas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int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gralement vers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3.1.3 Remplacement d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un participant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it-IT"/>
        </w:rPr>
        <w:t>ITTE CONSULTING Sarl offre la possibilit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remplacer un participant emp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</w:rPr>
        <w:t>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par un autre participant ayant le 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 profil et les 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mes besoins en formation. Le remplacement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 participant est possible sans indemnit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 plus tard 3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pour le commencement de la formation concern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e.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 xml:space="preserve">3.1.4 Insuffisance du nombre de participants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une session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Dans le cas 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ù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le nombre de participants serait insuffisant pour assurer le bon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roulement 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dagogique de la session de formation, ITTE CONSULTING Sarl se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serve la possibilit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ajourner la formation au plus tard 02 jrs avant la date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et ce, sans indemnit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pour le Client.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3.2 Formations intra entreprise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3.2.1 Descriptif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Toutes les formations disponibles dans le catalogue de formations peuvent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livr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en intra entreprise,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velopp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sur mesure par ITTE CONSULTING Sarl et ex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cut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dans les locaux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ITTE CONSULTING Sarl, du Client ou dans des locaux mis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disposition par le Client.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3.2.2 Conditions financi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res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Toute formation intra entreprise fera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alablement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proposition commerciale et financi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 par ITTE CONSULTING Sarl. Sauf disposition contraire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dans la proposition commerciale, un acompte minimum de 50% du co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û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 total de la formation sera vers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par 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signature de la proposition commerciale et financi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re, le solde sera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û à 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ception de la facture.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Pour les formations organis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chez le client, les frais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placement 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</w:rPr>
        <w:t>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bergement du (ou des) formateurs sont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es-ES_tradnl"/>
        </w:rPr>
        <w:t>s en sus.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NB : les demandes individuelles et hors session feront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facturation sp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cifique dont 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est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nl-NL"/>
        </w:rPr>
        <w:t>e en totalit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avant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marrage.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</w:rPr>
        <w:t>4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 xml:space="preserve">. DISPOSITIONS APPLICABLES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de-DE"/>
        </w:rPr>
        <w:t>OFFRE DE FORMATION PROPOSEE AU CATALOGUE DE FORMATIONS ET DISPENSEE PAR   ITTE CONSULTING Sarl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 xml:space="preserve">4.1 Annulation ou report des formations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initiative du Client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dates de formation sont fix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par ITTE CONSULTING Sarl (pour les formations inter-entreprises) et en accord avec le client (pour les formations intra entreprise).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annulation tardive par le Client : 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 moins 07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marrage de la formation : aucune facturation.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moins de 3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marrage de la formation : 30 % des honoraires relatifs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session seront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au Client.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moins de 01 jour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marrage de la formation : 100% des honoraires relatifs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session seront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au Client. Cette condition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galement valable pour toute personne absente le jour de la formation et non remplac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e. Toute annulation ou report devra faire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une communication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crite par e-mail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adresse suivante contact@itteConsulting.com.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 xml:space="preserve">4.2. Facturation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–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glement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4.2.1 Prix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Tous les prix sont exprim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en francs CFA et hors taxes. Ils seront major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de la TVA au taux en vigueur. 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4.2.2 Paiement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Sauf convention contraire, les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glements seront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aux conditions suivantes :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le paiement comptant doit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par 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ception de la facture ;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est accept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par 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es-ES_tradnl"/>
        </w:rPr>
        <w:t xml:space="preserve">que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ordre de ITTE CONSULTING (joint au bulletin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inscription) ou par virement bancaire;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aucun escompte ne sera appliqu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avant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’é</w:t>
      </w:r>
      <w:r>
        <w:rPr>
          <w:rStyle w:val="None"/>
          <w:rFonts w:ascii="Arial" w:hAnsi="Arial"/>
          <w:sz w:val="13"/>
          <w:szCs w:val="13"/>
          <w:rtl w:val="0"/>
        </w:rPr>
        <w:t>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ance.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de retard de paiement, ITTE CONSULTING Sarl pourra suspendre toutes les commandes en cours et sans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judice de toute autre voie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action.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</w:rPr>
        <w:t>ITTE CONSULTING Sarl aura la facult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suspendre le service jusqu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’à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complet paiement et obtenir 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par voie contentieuse aux frais du Client sans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judice des autres dommages et int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ts qui pourraient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</w:rPr>
        <w:t xml:space="preserve">tre dus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en-US"/>
        </w:rPr>
        <w:t>ITTE CONSULTING Sarl.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4.3. Force majeure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ITTE CONSULTING Sarl ne pourra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ê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tre tenu responsable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gard du Client en cas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en-US"/>
        </w:rPr>
        <w:t>inex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 ses obligations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sultant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 xml:space="preserve">un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v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nement de force majeure. Sont consid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comme cas de force majeure ou cas fortuit, outre ceux habituellement reconnus par la jurisprudence des Cours et Tribunaux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galais et sans que cette liste soit limitative : la maladie ou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accident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un animateur de formation, les gr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ves ou conflits sociaux, les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sastres naturels, les incendies, la non obtention de visas, des autorisations de travail ou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autres permis, les lois ou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glements mis en place ult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rieurement,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interruption des 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communications,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interruption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approvisionnement en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nergie, interruption des communications ou des transports de tout type, ou toute autre circonstance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pondant au crit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de la Force majeure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it-IT"/>
        </w:rPr>
        <w:t>4.4. Propri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intellectuelle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est seule titulaire des droits de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intellectuelle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ensemble des formations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elle propose au catalogue de formations.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cet effet,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ensemble des contenus et supports 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dagogiques quelle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 soit la forme (papier,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lectronique, num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rique, orale,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…</w:t>
      </w:r>
      <w:r>
        <w:rPr>
          <w:rStyle w:val="None"/>
          <w:rFonts w:ascii="Arial" w:hAnsi="Arial"/>
          <w:sz w:val="11"/>
          <w:szCs w:val="11"/>
          <w:rtl w:val="0"/>
          <w:lang w:val="it-IT"/>
        </w:rPr>
        <w:t>) utilis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par ITTE CONSULTING Sarl pour assurer les formations demeurent la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exclusive du cabinet.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ce titre, ils ne peuvent faire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aucune utilisation, transformation, reproduction, repr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sentation, adaptation, traduction et plus g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ralement exploitation non express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ment autoris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 au sein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rieur du Client sans accord expr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s et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crit de ITTE CONSULTING Sarl. En particulier, le Client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interdit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utiliser le contenu des formations pour former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autres personnes que son propre personnel et engage sa responsabilit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sur le fondement du code de la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intellectuelle en cas de cession ou de communication des contenus non autoris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e. Toute reproduction, repr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sentation, modification, publication, transmission, adaptation, traduction,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naturation, totale ou partielle des contenus de formations sont strictement interdites, et ce quels que soient le proc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et le support utilis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s. En tout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tat de cause, ITTE CONSULTING Sarl demeure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taire de ses outils, 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thodes et savoir-faire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velopp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pt-PT"/>
        </w:rPr>
        <w:t>s ant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rieurement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occasion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des prestations.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en-US"/>
        </w:rPr>
        <w:t>4.5 Confidentialit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Chacune des parties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engage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garder confidentiels toutes informations et tous documents concernant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 partie de quelle que nature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ils soient,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conomiques, techniques ou commerciaux, auxquels elles pourraient avoir acc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au cours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cution du contrat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occasion des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changes intervenus ant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rieurement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la conclusion du contrat.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4.6. Protection des donn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 xml:space="preserve">es 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re personnel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</w:rPr>
        <w:t>Conform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ment aux dispositions de la loi 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°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2008-12 sur la Protection des donn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personnel, le client peut exercer son droit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it-IT"/>
        </w:rPr>
        <w:t>acc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de rectification et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opposition. Les informations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personnel communiqu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es par le client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en application et dans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cution de la formation pourront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ê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tre communiqu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es aux partenaires contractuels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pour les seuls besoins desdites formations. ITTE CONSULTING Sarl ne proc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de pas au partage,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l'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en-US"/>
        </w:rPr>
        <w:t xml:space="preserve">change,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la location,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es-ES_tradnl"/>
        </w:rPr>
        <w:t xml:space="preserve">la vente ni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toute divulgation des informations de ses clients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des fins commerciales.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4.7. Publicit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Le client autorise ITTE CONSULTING Sarl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citer son nom en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f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rence en tant que client de la formation.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4.8. Droit applicable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–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Attribution de comp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tence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Les 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sentes conditions g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rales de prestations de services sont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gies exclusivement par le droit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pt-PT"/>
        </w:rPr>
        <w:t xml:space="preserve">galais. </w:t>
      </w:r>
    </w:p>
    <w:p>
      <w:pPr>
        <w:pStyle w:val="Body A"/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 cas de litige survenant entre le client et ITTE CONSULTING Sarl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occasion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 la formation, il sera recherch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une solution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amiable et,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faut de solution amiable trouv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 par les parties dans les 30 jours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apparition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un diff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rend, le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glement sera du ressort exclusif du tribunal de Dakar, nonobstant pluralit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</w:rPr>
        <w:t>de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fendeurs et/ou appels en garantie.</w:t>
      </w:r>
    </w:p>
    <w:sectPr>
      <w:headerReference w:type="default" r:id="rId6"/>
      <w:footerReference w:type="default" r:id="rId7"/>
      <w:pgSz w:w="11900" w:h="16840" w:orient="portrait"/>
      <w:pgMar w:top="1417" w:right="1417" w:bottom="1417" w:left="1417" w:header="708" w:footer="0"/>
      <w:cols w:space="274" w:num="2" w:equalWidth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Arial Black">
    <w:charset w:val="00"/>
    <w:family w:val="roman"/>
    <w:pitch w:val="default"/>
  </w:font>
  <w:font w:name="Arial Narro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046"/>
        <w:tab w:val="clear" w:pos="9072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-146050</wp:posOffset>
          </wp:positionH>
          <wp:positionV relativeFrom="page">
            <wp:posOffset>-67942</wp:posOffset>
          </wp:positionV>
          <wp:extent cx="7905750" cy="10802620"/>
          <wp:effectExtent l="0" t="0" r="0" b="0"/>
          <wp:wrapNone/>
          <wp:docPr id="1073741825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0802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6502400</wp:posOffset>
          </wp:positionH>
          <wp:positionV relativeFrom="page">
            <wp:posOffset>695325</wp:posOffset>
          </wp:positionV>
          <wp:extent cx="728345" cy="1134110"/>
          <wp:effectExtent l="0" t="0" r="0" b="0"/>
          <wp:wrapNone/>
          <wp:docPr id="1073741826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" descr="Image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11341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-146050</wp:posOffset>
          </wp:positionH>
          <wp:positionV relativeFrom="page">
            <wp:posOffset>-67942</wp:posOffset>
          </wp:positionV>
          <wp:extent cx="7905750" cy="10802620"/>
          <wp:effectExtent l="0" t="0" r="0" b="0"/>
          <wp:wrapNone/>
          <wp:docPr id="1073741830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0802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6502400</wp:posOffset>
          </wp:positionH>
          <wp:positionV relativeFrom="page">
            <wp:posOffset>695325</wp:posOffset>
          </wp:positionV>
          <wp:extent cx="728345" cy="1134110"/>
          <wp:effectExtent l="0" t="0" r="0" b="0"/>
          <wp:wrapNone/>
          <wp:docPr id="1073741831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Image" descr="Image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11341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 Narrow" w:cs="Arial Narrow" w:hAnsi="Arial Narrow" w:eastAsia="Arial Narrow"/>
      <w:outline w:val="0"/>
      <w:color w:val="0563c1"/>
      <w:sz w:val="18"/>
      <w:szCs w:val="18"/>
      <w:u w:val="single" w:color="0563c1"/>
      <w:lang w:val="pt-PT"/>
      <w14:textFill>
        <w14:solidFill>
          <w14:srgbClr w14:val="0563C1"/>
        </w14:solidFill>
      </w14:textFill>
    </w:rPr>
  </w:style>
  <w:style w:type="character" w:styleId="None A">
    <w:name w:val="None A"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eader" Target="header2.xml"/><Relationship Id="rId7" Type="http://schemas.openxmlformats.org/officeDocument/2006/relationships/footer" Target="footer2.xml"/><Relationship Id="rId8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