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ELABORATION DES BUDGETS ET MISE EN PLACE D’UNE PROCEDURE BUDGETAIRE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09 au 10 Octobre 2019 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>Lieu</w:t>
      </w:r>
      <w:r>
        <w:rPr>
          <w:rFonts w:cs="Arial" w:ascii="Arial Narrow" w:hAnsi="Arial Narrow"/>
          <w:color w:val="auto"/>
          <w:sz w:val="20"/>
          <w:szCs w:val="20"/>
          <w:lang w:val="en-GB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  <w:lang w:val="en-GB"/>
        </w:rPr>
        <w:t xml:space="preserve">SIEGE ITTE CONSULTING/ </w:t>
      </w:r>
      <w:r>
        <w:rPr>
          <w:rFonts w:cs="Arial" w:ascii="Arial Narrow" w:hAnsi="Arial Narrow"/>
          <w:b/>
          <w:sz w:val="20"/>
          <w:szCs w:val="20"/>
          <w:lang w:val="en-GB"/>
        </w:rPr>
        <w:t xml:space="preserve">HOTEL AL AFIFA DAKAR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 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295 000 F CFA </w:t>
      </w:r>
      <w:r>
        <w:rPr>
          <w:rFonts w:cs="Arial" w:ascii="Arial Narrow" w:hAnsi="Arial Narrow"/>
          <w:b/>
          <w:color w:val="auto"/>
          <w:sz w:val="20"/>
          <w:szCs w:val="20"/>
        </w:rPr>
        <w:t>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color w:val="auto"/>
          <w:sz w:val="20"/>
          <w:szCs w:val="20"/>
        </w:rPr>
        <w:t>/10</w:t>
      </w:r>
      <w:bookmarkStart w:id="0" w:name="_GoBack"/>
      <w:bookmarkEnd w:id="0"/>
      <w:r>
        <w:rPr>
          <w:rFonts w:cs="Arial" w:ascii="Arial Narrow" w:hAnsi="Arial Narrow"/>
          <w:b/>
          <w:color w:val="auto"/>
          <w:sz w:val="20"/>
          <w:szCs w:val="20"/>
        </w:rPr>
        <w:t>/ 2019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5895" cy="14541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44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75pt;height:11.3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035" cy="81534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1.95pt;height:64.1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8615" cy="8032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8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25pt;width:227.35pt;height:63.1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46CDBC8C">
              <wp:simplePos x="0" y="0"/>
              <wp:positionH relativeFrom="column">
                <wp:posOffset>-38100</wp:posOffset>
              </wp:positionH>
              <wp:positionV relativeFrom="paragraph">
                <wp:posOffset>199390</wp:posOffset>
              </wp:positionV>
              <wp:extent cx="6157595" cy="3873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080" cy="38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05pt,14.25pt" to="481.7pt,17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10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055" cy="76263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236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55pt;height:59.9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030595" cy="7459980"/>
              <wp:effectExtent l="0" t="0" r="0" b="0"/>
              <wp:wrapNone/>
              <wp:docPr id="9" name="WordPictureWatermark1400906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0090693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30000" cy="7459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00906939" o:spid="shape_0" stroked="f" style="position:absolute;margin-left:0.05pt;margin-top:44.25pt;width:474.75pt;height:587.3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12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3A8D-CB55-45ED-ADB5-F212EAC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LibreOffice/6.0.7.3$Linux_X86_64 LibreOffice_project/00m0$Build-3</Application>
  <Pages>2</Pages>
  <Words>330</Words>
  <Characters>2104</Characters>
  <CharactersWithSpaces>2483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2019-09-28T09:51:10Z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